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ПРИЛОЖЕНИЕ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21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Отчетность НКО!!!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0" w:line="221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 xml:space="preserve">С 01.01.2026 предоставление ежегодной отчетности в органы юстиции осуществляется исключительно на Портале Минюста России для некоммерческих организаций </w:t>
      </w:r>
      <w:r>
        <w:rPr>
          <w:color w:val="000000"/>
          <w:spacing w:val="0"/>
          <w:w w:val="100"/>
          <w:position w:val="0"/>
        </w:rPr>
        <w:t>(</w:t>
      </w:r>
      <w:r>
        <w:fldChar w:fldCharType="begin"/>
      </w:r>
      <w:r>
        <w:rPr/>
        <w:instrText> HYPERLINK "https://nco.minjust.gov.ru"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https://nco.minjust.gov.ru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) </w:t>
      </w:r>
      <w:r>
        <w:rPr>
          <w:color w:val="000000"/>
          <w:spacing w:val="0"/>
          <w:w w:val="100"/>
          <w:position w:val="0"/>
        </w:rPr>
        <w:t>через личный кабинет.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26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</w:rPr>
        <w:t>Срок предоставления некоммерческими организациями отчетности за 2025 год - до 15.04.2026, казачьими обществами - до 01.11.2026.</w:t>
      </w:r>
    </w:p>
    <w:sectPr>
      <w:footnotePr>
        <w:pos w:val="pageBottom"/>
        <w:numFmt w:val="decimal"/>
        <w:numRestart w:val="continuous"/>
      </w:footnotePr>
      <w:pgSz w:w="11900" w:h="16840"/>
      <w:pgMar w:top="1328" w:right="1309" w:bottom="1328" w:left="1446" w:header="900" w:footer="90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spacing w:after="660"/>
      <w:jc w:val="right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spacing w:after="19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